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XSpec="center" w:tblpY="976"/>
        <w:tblW w:w="10553" w:type="dxa"/>
        <w:tblLayout w:type="fixed"/>
        <w:tblLook w:val="04A0" w:firstRow="1" w:lastRow="0" w:firstColumn="1" w:lastColumn="0" w:noHBand="0" w:noVBand="1"/>
      </w:tblPr>
      <w:tblGrid>
        <w:gridCol w:w="1661"/>
        <w:gridCol w:w="8892"/>
      </w:tblGrid>
      <w:tr w:rsidR="00F94A59" w14:paraId="23DAE3C9" w14:textId="77777777" w:rsidTr="005D6EDC">
        <w:trPr>
          <w:trHeight w:val="1050"/>
        </w:trPr>
        <w:tc>
          <w:tcPr>
            <w:tcW w:w="10553" w:type="dxa"/>
            <w:gridSpan w:val="2"/>
            <w:shd w:val="clear" w:color="auto" w:fill="0F243E" w:themeFill="text2" w:themeFillShade="80"/>
          </w:tcPr>
          <w:p w14:paraId="79BAF55D" w14:textId="77777777" w:rsidR="005D6EDC" w:rsidRDefault="00F94A59" w:rsidP="005D6EDC">
            <w:pPr>
              <w:jc w:val="center"/>
              <w:rPr>
                <w:rFonts w:ascii="Century Gothic" w:hAnsi="Century Gothic" w:cs="Times"/>
                <w:b/>
                <w:bCs/>
                <w:color w:val="FFFFFF" w:themeColor="background1"/>
                <w:sz w:val="28"/>
                <w:szCs w:val="26"/>
                <w:lang w:eastAsia="es-ES"/>
              </w:rPr>
            </w:pPr>
            <w:bookmarkStart w:id="0" w:name="_Hlk65662993"/>
            <w:r w:rsidRPr="005D6EDC">
              <w:rPr>
                <w:rFonts w:ascii="Century Gothic" w:hAnsi="Century Gothic" w:cs="Times"/>
                <w:b/>
                <w:bCs/>
                <w:color w:val="FFFFFF" w:themeColor="background1"/>
                <w:sz w:val="28"/>
                <w:szCs w:val="26"/>
                <w:lang w:eastAsia="es-ES"/>
              </w:rPr>
              <w:t>REGLAS GENERALES SOBRE MEDICIÓN DE AGUAS NACIONALES A QUE SE </w:t>
            </w:r>
          </w:p>
          <w:p w14:paraId="1463F2DD" w14:textId="77777777" w:rsidR="005D6EDC" w:rsidRDefault="00F94A59" w:rsidP="005D6EDC">
            <w:pPr>
              <w:jc w:val="center"/>
              <w:rPr>
                <w:rFonts w:ascii="Century Gothic" w:hAnsi="Century Gothic" w:cs="Times"/>
                <w:b/>
                <w:bCs/>
                <w:color w:val="FFFFFF" w:themeColor="background1"/>
                <w:sz w:val="28"/>
                <w:szCs w:val="26"/>
                <w:lang w:eastAsia="es-ES"/>
              </w:rPr>
            </w:pPr>
            <w:r w:rsidRPr="005D6EDC">
              <w:rPr>
                <w:rFonts w:ascii="Century Gothic" w:hAnsi="Century Gothic" w:cs="Times"/>
                <w:b/>
                <w:bCs/>
                <w:color w:val="FFFFFF" w:themeColor="background1"/>
                <w:sz w:val="28"/>
                <w:szCs w:val="26"/>
                <w:lang w:eastAsia="es-ES"/>
              </w:rPr>
              <w:t>REFIERE LAFRACCIÓN I, DEL PÁRRAFO TERCERO, DEL ARTÍCULO 225, DE LA LEY</w:t>
            </w:r>
          </w:p>
          <w:p w14:paraId="5968C859" w14:textId="77777777" w:rsidR="00F94A59" w:rsidRPr="003A3734" w:rsidRDefault="00F94A59" w:rsidP="005D6EDC">
            <w:pPr>
              <w:jc w:val="center"/>
              <w:rPr>
                <w:rFonts w:ascii="Century Gothic" w:hAnsi="Century Gothic" w:cs="Times New Roman"/>
                <w:b/>
                <w:bCs/>
                <w:color w:val="2F2F2F"/>
                <w:sz w:val="26"/>
                <w:szCs w:val="26"/>
                <w:lang w:eastAsia="es-ES"/>
              </w:rPr>
            </w:pPr>
            <w:r w:rsidRPr="005D6EDC">
              <w:rPr>
                <w:rFonts w:ascii="Century Gothic" w:hAnsi="Century Gothic" w:cs="Times"/>
                <w:b/>
                <w:bCs/>
                <w:color w:val="FFFFFF" w:themeColor="background1"/>
                <w:sz w:val="28"/>
                <w:szCs w:val="26"/>
                <w:lang w:eastAsia="es-ES"/>
              </w:rPr>
              <w:t>FEDERAL DE DERECHOS.</w:t>
            </w:r>
          </w:p>
        </w:tc>
      </w:tr>
      <w:tr w:rsidR="00F94A59" w14:paraId="77B6E078" w14:textId="77777777" w:rsidTr="00980466">
        <w:trPr>
          <w:trHeight w:val="628"/>
        </w:trPr>
        <w:tc>
          <w:tcPr>
            <w:tcW w:w="10553" w:type="dxa"/>
            <w:gridSpan w:val="2"/>
            <w:shd w:val="clear" w:color="auto" w:fill="D9D9D9" w:themeFill="background1" w:themeFillShade="D9"/>
          </w:tcPr>
          <w:p w14:paraId="1395A9A4" w14:textId="77777777" w:rsidR="00977EB4" w:rsidRPr="00980466" w:rsidRDefault="00F94A59" w:rsidP="00980466">
            <w:pPr>
              <w:pStyle w:val="Prrafodelista"/>
              <w:numPr>
                <w:ilvl w:val="0"/>
                <w:numId w:val="2"/>
              </w:numPr>
              <w:rPr>
                <w:rFonts w:ascii="Century Gothic" w:hAnsi="Century Gothic"/>
                <w:b/>
                <w:color w:val="000000" w:themeColor="text1"/>
              </w:rPr>
            </w:pPr>
            <w:r w:rsidRPr="00980466">
              <w:rPr>
                <w:rFonts w:ascii="Century Gothic" w:hAnsi="Century Gothic"/>
                <w:b/>
                <w:color w:val="000000" w:themeColor="text1"/>
              </w:rPr>
              <w:t xml:space="preserve">Publicación en el DOF: </w:t>
            </w:r>
            <w:r w:rsidRPr="00980466">
              <w:rPr>
                <w:rFonts w:ascii="Century Gothic" w:hAnsi="Century Gothic"/>
                <w:b/>
                <w:color w:val="000000" w:themeColor="text1"/>
                <w:bdr w:val="single" w:sz="4" w:space="0" w:color="auto"/>
              </w:rPr>
              <w:t>09 de abril de 2020</w:t>
            </w:r>
            <w:r w:rsidR="00016E81" w:rsidRPr="00980466">
              <w:rPr>
                <w:rFonts w:ascii="Century Gothic" w:hAnsi="Century Gothic"/>
                <w:b/>
                <w:color w:val="000000" w:themeColor="text1"/>
              </w:rPr>
              <w:t xml:space="preserve"> </w:t>
            </w:r>
            <w:r w:rsidR="00977EB4" w:rsidRPr="00980466">
              <w:rPr>
                <w:rFonts w:ascii="Century Gothic" w:hAnsi="Century Gothic"/>
                <w:b/>
                <w:color w:val="000000" w:themeColor="text1"/>
              </w:rPr>
              <w:t xml:space="preserve">/ </w:t>
            </w:r>
            <w:r w:rsidR="00977EB4" w:rsidRPr="00980466">
              <w:rPr>
                <w:rFonts w:ascii="Century Gothic" w:hAnsi="Century Gothic"/>
                <w:b/>
                <w:color w:val="000000" w:themeColor="text1"/>
              </w:rPr>
              <w:t>Entrada en vigor: 10 de abril de 2020.</w:t>
            </w:r>
          </w:p>
          <w:p w14:paraId="1F616D9D" w14:textId="605B6CEC" w:rsidR="00977EB4" w:rsidRPr="00980466" w:rsidRDefault="00980466" w:rsidP="00977EB4">
            <w:pPr>
              <w:rPr>
                <w:rFonts w:ascii="Century Gothic" w:hAnsi="Century Gothic"/>
                <w:bCs/>
                <w:color w:val="000000" w:themeColor="text1"/>
                <w:u w:val="single"/>
              </w:rPr>
            </w:pPr>
            <w:r w:rsidRPr="00980466">
              <w:rPr>
                <w:rFonts w:ascii="Century Gothic" w:hAnsi="Century Gothic"/>
                <w:b/>
                <w:color w:val="000000" w:themeColor="text1"/>
              </w:rPr>
              <w:t xml:space="preserve">            </w:t>
            </w:r>
            <w:r w:rsidR="00977EB4" w:rsidRPr="00980466">
              <w:rPr>
                <w:rFonts w:ascii="Century Gothic" w:hAnsi="Century Gothic"/>
                <w:b/>
                <w:color w:val="000000" w:themeColor="text1"/>
                <w:u w:val="single"/>
              </w:rPr>
              <w:t xml:space="preserve">OBLIGATORIAS: </w:t>
            </w:r>
            <w:r w:rsidR="00977EB4" w:rsidRPr="00980466">
              <w:rPr>
                <w:rFonts w:ascii="Century Gothic" w:hAnsi="Century Gothic"/>
                <w:bCs/>
                <w:color w:val="000000" w:themeColor="text1"/>
                <w:u w:val="single"/>
              </w:rPr>
              <w:t>A partir del 01 de octubre de 2020</w:t>
            </w:r>
          </w:p>
        </w:tc>
      </w:tr>
      <w:tr w:rsidR="00F94A59" w14:paraId="31DAE4E4" w14:textId="77777777" w:rsidTr="005D6EDC">
        <w:trPr>
          <w:trHeight w:val="278"/>
        </w:trPr>
        <w:tc>
          <w:tcPr>
            <w:tcW w:w="10553" w:type="dxa"/>
            <w:gridSpan w:val="2"/>
            <w:shd w:val="clear" w:color="auto" w:fill="D9D9D9" w:themeFill="background1" w:themeFillShade="D9"/>
          </w:tcPr>
          <w:p w14:paraId="4E071C93" w14:textId="69837F36" w:rsidR="00980466" w:rsidRDefault="00980466" w:rsidP="00980466">
            <w:pPr>
              <w:pStyle w:val="Prrafodelista"/>
              <w:numPr>
                <w:ilvl w:val="0"/>
                <w:numId w:val="2"/>
              </w:numPr>
              <w:jc w:val="both"/>
              <w:rPr>
                <w:rFonts w:ascii="Century Gothic" w:hAnsi="Century Gothic"/>
                <w:b/>
                <w:color w:val="000000" w:themeColor="text1"/>
              </w:rPr>
            </w:pPr>
            <w:r>
              <w:rPr>
                <w:rFonts w:ascii="Century Gothic" w:hAnsi="Century Gothic"/>
                <w:b/>
                <w:color w:val="000000" w:themeColor="text1"/>
              </w:rPr>
              <w:t xml:space="preserve">En fecha </w:t>
            </w:r>
            <w:r w:rsidRPr="00980466">
              <w:rPr>
                <w:rFonts w:ascii="Century Gothic" w:hAnsi="Century Gothic"/>
                <w:b/>
                <w:color w:val="000000" w:themeColor="text1"/>
                <w:bdr w:val="single" w:sz="4" w:space="0" w:color="auto"/>
              </w:rPr>
              <w:t>19 de mayo de 2020,</w:t>
            </w:r>
            <w:r>
              <w:rPr>
                <w:rFonts w:ascii="Century Gothic" w:hAnsi="Century Gothic"/>
                <w:b/>
                <w:color w:val="000000" w:themeColor="text1"/>
              </w:rPr>
              <w:t xml:space="preserve"> s</w:t>
            </w:r>
            <w:r w:rsidRPr="00980466">
              <w:rPr>
                <w:rFonts w:ascii="Century Gothic" w:hAnsi="Century Gothic"/>
                <w:b/>
                <w:color w:val="000000" w:themeColor="text1"/>
              </w:rPr>
              <w:t>e public</w:t>
            </w:r>
            <w:r>
              <w:rPr>
                <w:rFonts w:ascii="Century Gothic" w:hAnsi="Century Gothic"/>
                <w:b/>
                <w:color w:val="000000" w:themeColor="text1"/>
              </w:rPr>
              <w:t>ó</w:t>
            </w:r>
            <w:r w:rsidRPr="00980466">
              <w:rPr>
                <w:rFonts w:ascii="Century Gothic" w:hAnsi="Century Gothic"/>
                <w:b/>
                <w:color w:val="000000" w:themeColor="text1"/>
              </w:rPr>
              <w:t xml:space="preserve"> en el DOF </w:t>
            </w:r>
            <w:r>
              <w:rPr>
                <w:rFonts w:ascii="Century Gothic" w:hAnsi="Century Gothic"/>
                <w:b/>
                <w:color w:val="000000" w:themeColor="text1"/>
              </w:rPr>
              <w:t>el ACUERDO</w:t>
            </w:r>
            <w:r w:rsidRPr="00980466">
              <w:rPr>
                <w:rFonts w:ascii="Century Gothic" w:hAnsi="Century Gothic"/>
                <w:b/>
                <w:color w:val="000000" w:themeColor="text1"/>
              </w:rPr>
              <w:t xml:space="preserve"> por el cual se reforma el artículo Segundo Transitorio de las Reglas Generales sobre medición de aguas nacionales a que se refiere la fracción I, del párrafo tercero, del artículo 225, de la Ley Federal de Derechos</w:t>
            </w:r>
            <w:proofErr w:type="gramStart"/>
            <w:r>
              <w:rPr>
                <w:rFonts w:ascii="Century Gothic" w:hAnsi="Century Gothic"/>
                <w:b/>
                <w:color w:val="000000" w:themeColor="text1"/>
              </w:rPr>
              <w:t xml:space="preserve">/ </w:t>
            </w:r>
            <w:r w:rsidRPr="00980466">
              <w:rPr>
                <w:rFonts w:ascii="Century Gothic" w:hAnsi="Century Gothic"/>
                <w:b/>
                <w:color w:val="000000" w:themeColor="text1"/>
              </w:rPr>
              <w:t xml:space="preserve"> </w:t>
            </w:r>
            <w:r w:rsidRPr="00980466">
              <w:rPr>
                <w:rFonts w:ascii="Century Gothic" w:hAnsi="Century Gothic"/>
                <w:b/>
                <w:color w:val="000000" w:themeColor="text1"/>
              </w:rPr>
              <w:t>Entrada</w:t>
            </w:r>
            <w:proofErr w:type="gramEnd"/>
            <w:r w:rsidRPr="00980466">
              <w:rPr>
                <w:rFonts w:ascii="Century Gothic" w:hAnsi="Century Gothic"/>
                <w:b/>
                <w:color w:val="000000" w:themeColor="text1"/>
              </w:rPr>
              <w:t xml:space="preserve"> en vigor:</w:t>
            </w:r>
            <w:r>
              <w:rPr>
                <w:rFonts w:ascii="Century Gothic" w:hAnsi="Century Gothic"/>
                <w:b/>
                <w:color w:val="000000" w:themeColor="text1"/>
              </w:rPr>
              <w:t xml:space="preserve"> 20 de mayo de 2020.</w:t>
            </w:r>
          </w:p>
          <w:p w14:paraId="3DCE63E4" w14:textId="3EFCB616" w:rsidR="00980466" w:rsidRPr="00980466" w:rsidRDefault="00980466" w:rsidP="00980466">
            <w:pPr>
              <w:pStyle w:val="Prrafodelista"/>
              <w:rPr>
                <w:rFonts w:ascii="Century Gothic" w:hAnsi="Century Gothic"/>
                <w:b/>
                <w:color w:val="000000" w:themeColor="text1"/>
              </w:rPr>
            </w:pPr>
            <w:r w:rsidRPr="00980466">
              <w:rPr>
                <w:rFonts w:ascii="Century Gothic" w:hAnsi="Century Gothic"/>
                <w:b/>
                <w:color w:val="000000" w:themeColor="text1"/>
                <w:highlight w:val="yellow"/>
                <w:u w:val="single"/>
              </w:rPr>
              <w:t xml:space="preserve">OBLIGATORIAS:   A PARTIR DEL 01 JULIO DE 2021 </w:t>
            </w:r>
          </w:p>
        </w:tc>
      </w:tr>
      <w:tr w:rsidR="00F94A59" w14:paraId="55B312D4" w14:textId="77777777" w:rsidTr="005D6EDC">
        <w:trPr>
          <w:trHeight w:val="787"/>
        </w:trPr>
        <w:tc>
          <w:tcPr>
            <w:tcW w:w="1661" w:type="dxa"/>
            <w:shd w:val="clear" w:color="auto" w:fill="D9D9D9" w:themeFill="background1" w:themeFillShade="D9"/>
            <w:vAlign w:val="center"/>
          </w:tcPr>
          <w:p w14:paraId="6B63804C" w14:textId="77777777" w:rsidR="00F94A59" w:rsidRPr="00F94A59" w:rsidRDefault="00F94A59" w:rsidP="003A3734">
            <w:pPr>
              <w:jc w:val="center"/>
              <w:rPr>
                <w:rFonts w:ascii="Century Gothic" w:hAnsi="Century Gothic"/>
                <w:b/>
              </w:rPr>
            </w:pPr>
            <w:r>
              <w:rPr>
                <w:rFonts w:ascii="Century Gothic" w:hAnsi="Century Gothic"/>
                <w:b/>
              </w:rPr>
              <w:t>El objeto de las reglas:</w:t>
            </w:r>
          </w:p>
        </w:tc>
        <w:tc>
          <w:tcPr>
            <w:tcW w:w="8892" w:type="dxa"/>
          </w:tcPr>
          <w:p w14:paraId="633DD220" w14:textId="77777777" w:rsidR="00F94A59" w:rsidRPr="00F94A59" w:rsidRDefault="00F94A59" w:rsidP="005D6EDC">
            <w:pPr>
              <w:jc w:val="both"/>
              <w:rPr>
                <w:rFonts w:ascii="Century Gothic" w:hAnsi="Century Gothic" w:cs="Arial"/>
                <w:color w:val="2F2F2F"/>
                <w:szCs w:val="18"/>
                <w:lang w:eastAsia="es-ES"/>
              </w:rPr>
            </w:pPr>
            <w:r w:rsidRPr="005D6EDC">
              <w:rPr>
                <w:rFonts w:ascii="Century Gothic" w:hAnsi="Century Gothic" w:cs="Arial"/>
                <w:color w:val="2F2F2F"/>
                <w:sz w:val="21"/>
                <w:szCs w:val="21"/>
                <w:lang w:eastAsia="es-ES"/>
              </w:rPr>
              <w:t>Es establecer las reglas generales que deberán observar los contribuyentes para dar cumplimiento a la obligación contenida en la fracción I, del párrafo tercero del artículo 225, de la Ley Federal de Derechos.</w:t>
            </w:r>
          </w:p>
        </w:tc>
      </w:tr>
      <w:tr w:rsidR="003A3734" w14:paraId="5589C0A1" w14:textId="77777777" w:rsidTr="005D6EDC">
        <w:trPr>
          <w:trHeight w:val="1343"/>
        </w:trPr>
        <w:tc>
          <w:tcPr>
            <w:tcW w:w="1661" w:type="dxa"/>
            <w:shd w:val="clear" w:color="auto" w:fill="D9D9D9" w:themeFill="background1" w:themeFillShade="D9"/>
            <w:vAlign w:val="center"/>
          </w:tcPr>
          <w:p w14:paraId="51E63CDC" w14:textId="77777777" w:rsidR="00F94A59" w:rsidRPr="00F94A59" w:rsidRDefault="00F94A59" w:rsidP="003A3734">
            <w:pPr>
              <w:jc w:val="center"/>
              <w:rPr>
                <w:rFonts w:ascii="Century Gothic" w:hAnsi="Century Gothic"/>
                <w:b/>
              </w:rPr>
            </w:pPr>
            <w:r w:rsidRPr="00F94A59">
              <w:rPr>
                <w:rFonts w:ascii="Century Gothic" w:hAnsi="Century Gothic"/>
                <w:b/>
              </w:rPr>
              <w:t>Son aplicables:</w:t>
            </w:r>
          </w:p>
        </w:tc>
        <w:tc>
          <w:tcPr>
            <w:tcW w:w="8892" w:type="dxa"/>
          </w:tcPr>
          <w:p w14:paraId="08B9A8B4" w14:textId="77777777" w:rsidR="00F94A59" w:rsidRPr="005D6EDC" w:rsidRDefault="00F94A59" w:rsidP="005D6EDC">
            <w:pPr>
              <w:jc w:val="both"/>
              <w:rPr>
                <w:rFonts w:ascii="Century Gothic" w:hAnsi="Century Gothic" w:cs="Arial"/>
                <w:color w:val="2F2F2F"/>
                <w:sz w:val="21"/>
                <w:szCs w:val="21"/>
                <w:lang w:eastAsia="es-ES"/>
              </w:rPr>
            </w:pPr>
            <w:r w:rsidRPr="005D6EDC">
              <w:rPr>
                <w:rFonts w:ascii="Century Gothic" w:hAnsi="Century Gothic" w:cs="Arial"/>
                <w:color w:val="2F2F2F"/>
                <w:sz w:val="21"/>
                <w:szCs w:val="21"/>
                <w:lang w:eastAsia="es-ES"/>
              </w:rPr>
              <w:t>A los contribuyentes a que refiere la fracción I, del párrafo tercero del artículo 225, de la Ley Federal de Derechos que de hecho o al amparo de un título de </w:t>
            </w:r>
            <w:r w:rsidR="005D6EDC" w:rsidRPr="005D6EDC">
              <w:rPr>
                <w:rFonts w:ascii="Century Gothic" w:hAnsi="Century Gothic" w:cs="Arial"/>
                <w:color w:val="2F2F2F"/>
                <w:sz w:val="21"/>
                <w:szCs w:val="21"/>
                <w:lang w:eastAsia="es-ES"/>
              </w:rPr>
              <w:t xml:space="preserve"> concesión</w:t>
            </w:r>
            <w:r w:rsidRPr="005D6EDC">
              <w:rPr>
                <w:rFonts w:ascii="Century Gothic" w:hAnsi="Century Gothic" w:cs="Arial"/>
                <w:color w:val="2F2F2F"/>
                <w:sz w:val="21"/>
                <w:szCs w:val="21"/>
                <w:lang w:eastAsia="es-ES"/>
              </w:rPr>
              <w:t> o asignación emitido por la Comisión Nacional del Agua usen, exploten o aprovechen aguas nacionales</w:t>
            </w:r>
            <w:r w:rsidR="005D6EDC" w:rsidRPr="005D6EDC">
              <w:rPr>
                <w:rFonts w:ascii="Century Gothic" w:hAnsi="Century Gothic" w:cs="Arial"/>
                <w:color w:val="2F2F2F"/>
                <w:sz w:val="21"/>
                <w:szCs w:val="21"/>
                <w:lang w:eastAsia="es-ES"/>
              </w:rPr>
              <w:t xml:space="preserve">, </w:t>
            </w:r>
            <w:r w:rsidR="005D6EDC" w:rsidRPr="005D6EDC">
              <w:rPr>
                <w:rFonts w:ascii="Century Gothic" w:hAnsi="Century Gothic"/>
                <w:sz w:val="21"/>
                <w:szCs w:val="21"/>
              </w:rPr>
              <w:t xml:space="preserve"> salvo los contribuyentes que utilicen las aguas nacionales para actividades agrícolas o pecuarias</w:t>
            </w:r>
            <w:r w:rsidR="005D6EDC" w:rsidRPr="005D6EDC">
              <w:rPr>
                <w:sz w:val="21"/>
                <w:szCs w:val="21"/>
              </w:rPr>
              <w:t>.</w:t>
            </w:r>
            <w:r w:rsidR="005D6EDC">
              <w:rPr>
                <w:sz w:val="23"/>
                <w:szCs w:val="23"/>
              </w:rPr>
              <w:t xml:space="preserve"> </w:t>
            </w:r>
          </w:p>
        </w:tc>
      </w:tr>
      <w:tr w:rsidR="003A3734" w14:paraId="124C6604" w14:textId="77777777" w:rsidTr="005D6EDC">
        <w:trPr>
          <w:trHeight w:val="262"/>
        </w:trPr>
        <w:tc>
          <w:tcPr>
            <w:tcW w:w="10553" w:type="dxa"/>
            <w:gridSpan w:val="2"/>
            <w:shd w:val="clear" w:color="auto" w:fill="D9D9D9" w:themeFill="background1" w:themeFillShade="D9"/>
          </w:tcPr>
          <w:p w14:paraId="20AFC605" w14:textId="77777777" w:rsidR="003A3734" w:rsidRPr="003A3734" w:rsidRDefault="003A3734" w:rsidP="003A3734">
            <w:pPr>
              <w:jc w:val="center"/>
              <w:rPr>
                <w:rFonts w:ascii="Century Gothic" w:hAnsi="Century Gothic"/>
                <w:b/>
              </w:rPr>
            </w:pPr>
            <w:r w:rsidRPr="003A3734">
              <w:rPr>
                <w:rFonts w:ascii="Century Gothic" w:hAnsi="Century Gothic"/>
                <w:b/>
              </w:rPr>
              <w:t>REGLAS GENERALES</w:t>
            </w:r>
            <w:r>
              <w:rPr>
                <w:rFonts w:ascii="Century Gothic" w:hAnsi="Century Gothic"/>
                <w:b/>
              </w:rPr>
              <w:t>:</w:t>
            </w:r>
          </w:p>
        </w:tc>
      </w:tr>
      <w:tr w:rsidR="00F94A59" w:rsidRPr="003A3734" w14:paraId="48EA5EDF" w14:textId="77777777" w:rsidTr="005D6EDC">
        <w:trPr>
          <w:trHeight w:val="563"/>
        </w:trPr>
        <w:tc>
          <w:tcPr>
            <w:tcW w:w="10553" w:type="dxa"/>
            <w:gridSpan w:val="2"/>
          </w:tcPr>
          <w:p w14:paraId="17F263C6" w14:textId="77777777" w:rsidR="00F94A59" w:rsidRPr="005D6EDC" w:rsidRDefault="003A3734" w:rsidP="003A3734">
            <w:pPr>
              <w:jc w:val="both"/>
              <w:rPr>
                <w:rFonts w:ascii="Century Gothic" w:hAnsi="Century Gothic"/>
                <w:sz w:val="20"/>
                <w:szCs w:val="21"/>
              </w:rPr>
            </w:pPr>
            <w:r w:rsidRPr="005D6EDC">
              <w:rPr>
                <w:rFonts w:ascii="Century Gothic" w:hAnsi="Century Gothic"/>
                <w:b/>
                <w:sz w:val="20"/>
                <w:szCs w:val="21"/>
                <w:highlight w:val="lightGray"/>
              </w:rPr>
              <w:t>PRIMERA.-</w:t>
            </w:r>
            <w:r w:rsidRPr="005D6EDC">
              <w:rPr>
                <w:rFonts w:ascii="Century Gothic" w:hAnsi="Century Gothic"/>
                <w:sz w:val="20"/>
                <w:szCs w:val="21"/>
              </w:rPr>
              <w:t xml:space="preserve"> Para la medición de los volúmenes de aguas nacionales usados, explotados o aprovechados a que se refiere la fracción I, párrafo tercero, del artículo 225 de la Ley Federal de Derechos, </w:t>
            </w:r>
            <w:r w:rsidRPr="005D6EDC">
              <w:rPr>
                <w:rFonts w:ascii="Century Gothic" w:hAnsi="Century Gothic"/>
                <w:b/>
                <w:sz w:val="20"/>
                <w:szCs w:val="21"/>
                <w:u w:val="single"/>
              </w:rPr>
              <w:t>los aparatos de medición que adquieran e instalen o conserven los contribuyentes deberán cumplir con la "NMX-AA-179-SCFI-2018. Medición de volúmenes de aguas nacionales usados, explotados o aprovechados”.</w:t>
            </w:r>
          </w:p>
        </w:tc>
      </w:tr>
      <w:tr w:rsidR="003A3734" w:rsidRPr="003A3734" w14:paraId="4449EA2D" w14:textId="77777777" w:rsidTr="005D6EDC">
        <w:trPr>
          <w:trHeight w:val="563"/>
        </w:trPr>
        <w:tc>
          <w:tcPr>
            <w:tcW w:w="10553" w:type="dxa"/>
            <w:gridSpan w:val="2"/>
          </w:tcPr>
          <w:p w14:paraId="624676D6"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highlight w:val="lightGray"/>
              </w:rPr>
              <w:t>SEGUNDA.-</w:t>
            </w:r>
            <w:r w:rsidRPr="005D6EDC">
              <w:rPr>
                <w:rFonts w:ascii="Century Gothic" w:hAnsi="Century Gothic"/>
                <w:sz w:val="20"/>
                <w:szCs w:val="21"/>
              </w:rPr>
              <w:t xml:space="preserve"> </w:t>
            </w:r>
            <w:r w:rsidRPr="005D6EDC">
              <w:rPr>
                <w:rFonts w:ascii="Century Gothic" w:hAnsi="Century Gothic"/>
                <w:b/>
                <w:sz w:val="20"/>
                <w:szCs w:val="21"/>
              </w:rPr>
              <w:t>La obligación de medir</w:t>
            </w:r>
            <w:r w:rsidRPr="005D6EDC">
              <w:rPr>
                <w:rFonts w:ascii="Century Gothic" w:hAnsi="Century Gothic"/>
                <w:sz w:val="20"/>
                <w:szCs w:val="21"/>
              </w:rPr>
              <w:t xml:space="preserve"> los volúmenes de aguas nacionales usados, explotados o aprovechados de conformidad </w:t>
            </w:r>
            <w:r w:rsidRPr="005D6EDC">
              <w:rPr>
                <w:rFonts w:ascii="Century Gothic" w:hAnsi="Century Gothic"/>
                <w:b/>
                <w:sz w:val="20"/>
                <w:szCs w:val="21"/>
              </w:rPr>
              <w:t>con estas reglas</w:t>
            </w:r>
            <w:r w:rsidRPr="005D6EDC">
              <w:rPr>
                <w:rFonts w:ascii="Century Gothic" w:hAnsi="Century Gothic"/>
                <w:sz w:val="20"/>
                <w:szCs w:val="21"/>
              </w:rPr>
              <w:t xml:space="preserve"> </w:t>
            </w:r>
            <w:r w:rsidRPr="005D6EDC">
              <w:rPr>
                <w:rFonts w:ascii="Century Gothic" w:hAnsi="Century Gothic"/>
                <w:b/>
                <w:sz w:val="20"/>
                <w:szCs w:val="21"/>
              </w:rPr>
              <w:t xml:space="preserve">generales </w:t>
            </w:r>
            <w:r w:rsidRPr="005D6EDC">
              <w:rPr>
                <w:rFonts w:ascii="Century Gothic" w:hAnsi="Century Gothic"/>
                <w:b/>
                <w:sz w:val="20"/>
                <w:szCs w:val="21"/>
                <w:u w:val="single"/>
              </w:rPr>
              <w:t>se podrá diferir, por única ocasión</w:t>
            </w:r>
            <w:r w:rsidRPr="005D6EDC">
              <w:rPr>
                <w:rFonts w:ascii="Century Gothic" w:hAnsi="Century Gothic"/>
                <w:sz w:val="20"/>
                <w:szCs w:val="21"/>
              </w:rPr>
              <w:t xml:space="preserve">, </w:t>
            </w:r>
            <w:r w:rsidRPr="005D6EDC">
              <w:rPr>
                <w:rFonts w:ascii="Century Gothic" w:hAnsi="Century Gothic"/>
                <w:b/>
                <w:sz w:val="20"/>
                <w:szCs w:val="21"/>
              </w:rPr>
              <w:t>cuando por las características y complejidad de sus procesos los contribuyentes así lo soliciten y sea autorizado por la Comisión Nacional del Agua, a través de la Coordinación General de Recaudación y Fiscalización.</w:t>
            </w:r>
          </w:p>
        </w:tc>
      </w:tr>
      <w:tr w:rsidR="003A3734" w:rsidRPr="003A3734" w14:paraId="491AC9DB" w14:textId="77777777" w:rsidTr="005D6EDC">
        <w:trPr>
          <w:trHeight w:val="563"/>
        </w:trPr>
        <w:tc>
          <w:tcPr>
            <w:tcW w:w="10553" w:type="dxa"/>
            <w:gridSpan w:val="2"/>
          </w:tcPr>
          <w:p w14:paraId="62A9928B"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highlight w:val="lightGray"/>
              </w:rPr>
              <w:t>TERCERA.-</w:t>
            </w:r>
            <w:r w:rsidRPr="005D6EDC">
              <w:rPr>
                <w:rFonts w:ascii="Century Gothic" w:hAnsi="Century Gothic"/>
                <w:sz w:val="20"/>
                <w:szCs w:val="21"/>
              </w:rPr>
              <w:t xml:space="preserve"> Para el efecto de obtener la autorización prevista en la regla anterior, </w:t>
            </w:r>
            <w:r w:rsidRPr="005D6EDC">
              <w:rPr>
                <w:rFonts w:ascii="Century Gothic" w:hAnsi="Century Gothic"/>
                <w:b/>
                <w:sz w:val="20"/>
                <w:szCs w:val="21"/>
                <w:u w:val="single"/>
              </w:rPr>
              <w:t>LOS CONTRIBUYENTES DEBERÁN PRESENTAR A MÁS TARDAR DENTRO DE LOS TREINTA DÍAS NATURALES PREVIOS AL INICIO DE LA OBLIGACIÓN LO SIGUIENTE</w:t>
            </w:r>
            <w:r w:rsidRPr="005D6EDC">
              <w:rPr>
                <w:rFonts w:ascii="Century Gothic" w:hAnsi="Century Gothic"/>
                <w:sz w:val="20"/>
                <w:szCs w:val="21"/>
              </w:rPr>
              <w:t>:</w:t>
            </w:r>
          </w:p>
          <w:p w14:paraId="1E67C24E"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rPr>
              <w:t>a)</w:t>
            </w:r>
            <w:r w:rsidRPr="005D6EDC">
              <w:rPr>
                <w:rFonts w:ascii="Century Gothic" w:hAnsi="Century Gothic"/>
                <w:sz w:val="20"/>
                <w:szCs w:val="21"/>
              </w:rPr>
              <w:t xml:space="preserve">    </w:t>
            </w:r>
            <w:r w:rsidRPr="005D6EDC">
              <w:rPr>
                <w:rFonts w:ascii="Century Gothic" w:hAnsi="Century Gothic"/>
                <w:b/>
                <w:sz w:val="20"/>
                <w:szCs w:val="21"/>
              </w:rPr>
              <w:t>Una solicitud por escrito</w:t>
            </w:r>
            <w:r w:rsidRPr="005D6EDC">
              <w:rPr>
                <w:rFonts w:ascii="Century Gothic" w:hAnsi="Century Gothic"/>
                <w:sz w:val="20"/>
                <w:szCs w:val="21"/>
              </w:rPr>
              <w:t xml:space="preserve"> en la que señalen las razones y motivos por los cuales se pide la autorización de una fecha posterior de cumplimiento;</w:t>
            </w:r>
          </w:p>
          <w:p w14:paraId="0D95DBB8"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rPr>
              <w:t>b)</w:t>
            </w:r>
            <w:r w:rsidRPr="005D6EDC">
              <w:rPr>
                <w:rFonts w:ascii="Century Gothic" w:hAnsi="Century Gothic"/>
                <w:sz w:val="20"/>
                <w:szCs w:val="21"/>
              </w:rPr>
              <w:t xml:space="preserve">    </w:t>
            </w:r>
            <w:r w:rsidRPr="005D6EDC">
              <w:rPr>
                <w:rFonts w:ascii="Century Gothic" w:hAnsi="Century Gothic"/>
                <w:b/>
                <w:sz w:val="20"/>
                <w:szCs w:val="21"/>
              </w:rPr>
              <w:t xml:space="preserve">Dictamen técnico emitido por un Prestador de Servicios Integrados </w:t>
            </w:r>
            <w:r w:rsidRPr="005D6EDC">
              <w:rPr>
                <w:rFonts w:ascii="Century Gothic" w:hAnsi="Century Gothic"/>
                <w:sz w:val="20"/>
                <w:szCs w:val="21"/>
              </w:rPr>
              <w:t>que justifique que debido a las características y complejidad de los procesos del contribuyente los medidores o sistemas de medición no pueden ser instalados y puestos en operación en la fecha prevista en estas reglas generales como obligatoria, dictamen que deberá contener el proyecto ejecutivo para la instalación de los medidores o sistemas de medición y el cronograma de ejecución.</w:t>
            </w:r>
          </w:p>
        </w:tc>
      </w:tr>
      <w:tr w:rsidR="003A3734" w:rsidRPr="003A3734" w14:paraId="657C4AFC" w14:textId="77777777" w:rsidTr="005D6EDC">
        <w:trPr>
          <w:trHeight w:val="563"/>
        </w:trPr>
        <w:tc>
          <w:tcPr>
            <w:tcW w:w="10553" w:type="dxa"/>
            <w:gridSpan w:val="2"/>
          </w:tcPr>
          <w:p w14:paraId="23BEB040"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highlight w:val="lightGray"/>
              </w:rPr>
              <w:t>CUARTA.-</w:t>
            </w:r>
            <w:r w:rsidRPr="005D6EDC">
              <w:rPr>
                <w:rFonts w:ascii="Century Gothic" w:hAnsi="Century Gothic"/>
                <w:sz w:val="20"/>
                <w:szCs w:val="21"/>
              </w:rPr>
              <w:t xml:space="preserve"> </w:t>
            </w:r>
            <w:r w:rsidRPr="005D6EDC">
              <w:rPr>
                <w:rFonts w:ascii="Century Gothic" w:hAnsi="Century Gothic"/>
                <w:b/>
                <w:sz w:val="20"/>
                <w:szCs w:val="21"/>
                <w:u w:val="single"/>
              </w:rPr>
              <w:t>La Coordinación General de Recaudación y Fiscalización revisará, en UN PLAZO QUE NO EXCEDA DE 20 DÍAS HÁBILES</w:t>
            </w:r>
            <w:r w:rsidRPr="005D6EDC">
              <w:rPr>
                <w:rFonts w:ascii="Century Gothic" w:hAnsi="Century Gothic"/>
                <w:sz w:val="20"/>
                <w:szCs w:val="21"/>
              </w:rPr>
              <w:t xml:space="preserve">, que la documentación referida en la regla anterior esté completa. En caso de que identifique que la documentación está incompleta, </w:t>
            </w:r>
            <w:r w:rsidRPr="005D6EDC">
              <w:rPr>
                <w:rFonts w:ascii="Century Gothic" w:hAnsi="Century Gothic"/>
                <w:b/>
                <w:sz w:val="20"/>
                <w:szCs w:val="21"/>
                <w:u w:val="single"/>
              </w:rPr>
              <w:t>hará el requerimiento de forma personal para que, en un plazo no mayor a 10 días hábiles, contados a partir del día siguiente en que surtió efectos la notificación del requerimiento</w:t>
            </w:r>
            <w:r w:rsidRPr="005D6EDC">
              <w:rPr>
                <w:rFonts w:ascii="Century Gothic" w:hAnsi="Century Gothic"/>
                <w:sz w:val="20"/>
                <w:szCs w:val="21"/>
              </w:rPr>
              <w:t>, el contribuyente lo solvente, con el apercibimiento de que en caso de no hacerlo se tendrá por no presentada la solicitud de autorización del diferimiento de la obligación de medir los volúmenes de aguas nacionales usados, explotados o aprovechados de conformidad con estas reglas generales.</w:t>
            </w:r>
          </w:p>
        </w:tc>
      </w:tr>
      <w:tr w:rsidR="003A3734" w:rsidRPr="003A3734" w14:paraId="4A79AD62" w14:textId="77777777" w:rsidTr="005D6EDC">
        <w:trPr>
          <w:trHeight w:val="563"/>
        </w:trPr>
        <w:tc>
          <w:tcPr>
            <w:tcW w:w="10553" w:type="dxa"/>
            <w:gridSpan w:val="2"/>
          </w:tcPr>
          <w:p w14:paraId="6C55872D"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highlight w:val="lightGray"/>
              </w:rPr>
              <w:t>QUINTA.-</w:t>
            </w:r>
            <w:r w:rsidRPr="005D6EDC">
              <w:rPr>
                <w:rFonts w:ascii="Century Gothic" w:hAnsi="Century Gothic"/>
                <w:sz w:val="20"/>
                <w:szCs w:val="21"/>
              </w:rPr>
              <w:t xml:space="preserve"> La Coordinación General de Recaudación y Fiscalización en un </w:t>
            </w:r>
            <w:r w:rsidRPr="005D6EDC">
              <w:rPr>
                <w:rFonts w:ascii="Century Gothic" w:hAnsi="Century Gothic"/>
                <w:b/>
                <w:sz w:val="20"/>
                <w:szCs w:val="21"/>
                <w:u w:val="single"/>
              </w:rPr>
              <w:t>PLAZO QUE NO EXCEDERÁ DE 40 DÍAS HÁBILES contados a partir del día en que se integró el expediente emitirá y notificará personalmente al contribuyente la resolución que corresponda</w:t>
            </w:r>
            <w:r w:rsidRPr="005D6EDC">
              <w:rPr>
                <w:rFonts w:ascii="Century Gothic" w:hAnsi="Century Gothic"/>
                <w:sz w:val="20"/>
                <w:szCs w:val="21"/>
              </w:rPr>
              <w:t>, en el sentido de autorizar o rechazar la solicitud de autorización del diferimiento de la obligación de medir los volúmenes de aguas nacionales usados, explotados o aprovechados de conformidad con estas reglas generales.</w:t>
            </w:r>
          </w:p>
          <w:p w14:paraId="282FBD30" w14:textId="77777777" w:rsidR="003A3734" w:rsidRPr="005D6EDC" w:rsidRDefault="003A3734" w:rsidP="003A3734">
            <w:pPr>
              <w:jc w:val="both"/>
              <w:rPr>
                <w:rFonts w:ascii="Century Gothic" w:hAnsi="Century Gothic"/>
                <w:sz w:val="20"/>
                <w:szCs w:val="21"/>
              </w:rPr>
            </w:pPr>
            <w:r w:rsidRPr="005D6EDC">
              <w:rPr>
                <w:rFonts w:ascii="Century Gothic" w:hAnsi="Century Gothic"/>
                <w:sz w:val="20"/>
                <w:szCs w:val="21"/>
              </w:rPr>
              <w:t>Se considerará que el expediente está integrado cuando el contribuyente haya cumplido con todos los requisitos establecidos en la regla tercera.</w:t>
            </w:r>
          </w:p>
        </w:tc>
      </w:tr>
      <w:tr w:rsidR="003A3734" w:rsidRPr="003A3734" w14:paraId="6C2675AD" w14:textId="77777777" w:rsidTr="005D6EDC">
        <w:trPr>
          <w:trHeight w:val="563"/>
        </w:trPr>
        <w:tc>
          <w:tcPr>
            <w:tcW w:w="10553" w:type="dxa"/>
            <w:gridSpan w:val="2"/>
          </w:tcPr>
          <w:p w14:paraId="38FD655D" w14:textId="77777777" w:rsidR="003A3734" w:rsidRPr="005D6EDC" w:rsidRDefault="003A3734" w:rsidP="003A3734">
            <w:pPr>
              <w:jc w:val="both"/>
              <w:rPr>
                <w:rFonts w:ascii="Century Gothic" w:hAnsi="Century Gothic"/>
                <w:sz w:val="20"/>
                <w:szCs w:val="21"/>
              </w:rPr>
            </w:pPr>
            <w:r w:rsidRPr="005D6EDC">
              <w:rPr>
                <w:rFonts w:ascii="Century Gothic" w:hAnsi="Century Gothic"/>
                <w:b/>
                <w:sz w:val="20"/>
                <w:szCs w:val="21"/>
                <w:highlight w:val="lightGray"/>
              </w:rPr>
              <w:lastRenderedPageBreak/>
              <w:t>SEXTA.-</w:t>
            </w:r>
            <w:r w:rsidRPr="005D6EDC">
              <w:rPr>
                <w:rFonts w:ascii="Century Gothic" w:hAnsi="Century Gothic"/>
                <w:sz w:val="20"/>
                <w:szCs w:val="21"/>
              </w:rPr>
              <w:t xml:space="preserve"> </w:t>
            </w:r>
            <w:r w:rsidRPr="005D6EDC">
              <w:rPr>
                <w:rFonts w:ascii="Century Gothic" w:hAnsi="Century Gothic"/>
                <w:b/>
                <w:sz w:val="20"/>
                <w:szCs w:val="21"/>
              </w:rPr>
              <w:t>La observancia y cumplimiento</w:t>
            </w:r>
            <w:r w:rsidRPr="005D6EDC">
              <w:rPr>
                <w:rFonts w:ascii="Century Gothic" w:hAnsi="Century Gothic"/>
                <w:sz w:val="20"/>
                <w:szCs w:val="21"/>
              </w:rPr>
              <w:t xml:space="preserve"> de estas reglas generales, en su caso, </w:t>
            </w:r>
            <w:r w:rsidRPr="005D6EDC">
              <w:rPr>
                <w:rFonts w:ascii="Century Gothic" w:hAnsi="Century Gothic"/>
                <w:b/>
                <w:sz w:val="20"/>
                <w:szCs w:val="21"/>
              </w:rPr>
              <w:t>serán objeto de fiscalización</w:t>
            </w:r>
            <w:r w:rsidRPr="005D6EDC">
              <w:rPr>
                <w:rFonts w:ascii="Century Gothic" w:hAnsi="Century Gothic"/>
                <w:sz w:val="20"/>
                <w:szCs w:val="21"/>
              </w:rPr>
              <w:t xml:space="preserve"> conforme lo señala el Código Fiscal de la Federación y las demás disposiciones fiscales</w:t>
            </w:r>
            <w:r w:rsidR="005D6EDC" w:rsidRPr="005D6EDC">
              <w:rPr>
                <w:rFonts w:ascii="Century Gothic" w:hAnsi="Century Gothic"/>
                <w:sz w:val="20"/>
                <w:szCs w:val="21"/>
              </w:rPr>
              <w:t xml:space="preserve"> </w:t>
            </w:r>
            <w:r w:rsidRPr="005D6EDC">
              <w:rPr>
                <w:rFonts w:ascii="Century Gothic" w:hAnsi="Century Gothic"/>
                <w:sz w:val="20"/>
                <w:szCs w:val="21"/>
              </w:rPr>
              <w:t>aplicables.</w:t>
            </w:r>
          </w:p>
        </w:tc>
      </w:tr>
      <w:bookmarkEnd w:id="0"/>
    </w:tbl>
    <w:p w14:paraId="1A7D6656" w14:textId="77777777" w:rsidR="00F94A59" w:rsidRDefault="00F94A59"/>
    <w:sectPr w:rsidR="00F94A59" w:rsidSect="003A3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2351"/>
    <w:multiLevelType w:val="hybridMultilevel"/>
    <w:tmpl w:val="BB30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0A4EFB"/>
    <w:multiLevelType w:val="hybridMultilevel"/>
    <w:tmpl w:val="FA7AC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59"/>
    <w:rsid w:val="00016E81"/>
    <w:rsid w:val="00123361"/>
    <w:rsid w:val="002E4BF1"/>
    <w:rsid w:val="00306967"/>
    <w:rsid w:val="00335B45"/>
    <w:rsid w:val="003A3734"/>
    <w:rsid w:val="004078AF"/>
    <w:rsid w:val="005D6EDC"/>
    <w:rsid w:val="00627BE2"/>
    <w:rsid w:val="0064422F"/>
    <w:rsid w:val="0065552B"/>
    <w:rsid w:val="0068317A"/>
    <w:rsid w:val="00702CFC"/>
    <w:rsid w:val="007624C1"/>
    <w:rsid w:val="00823624"/>
    <w:rsid w:val="00977EB4"/>
    <w:rsid w:val="00980466"/>
    <w:rsid w:val="009C5776"/>
    <w:rsid w:val="009E4E32"/>
    <w:rsid w:val="00A055CA"/>
    <w:rsid w:val="00A35FEA"/>
    <w:rsid w:val="00AE2122"/>
    <w:rsid w:val="00B24C51"/>
    <w:rsid w:val="00DD5D74"/>
    <w:rsid w:val="00E67A77"/>
    <w:rsid w:val="00EC0757"/>
    <w:rsid w:val="00F45F7B"/>
    <w:rsid w:val="00F94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F358"/>
  <w15:docId w15:val="{3847905B-A69D-487C-B5CD-CCF55168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5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4A59"/>
    <w:pPr>
      <w:ind w:left="720"/>
      <w:contextualSpacing/>
    </w:pPr>
  </w:style>
  <w:style w:type="paragraph" w:customStyle="1" w:styleId="Default">
    <w:name w:val="Default"/>
    <w:rsid w:val="005D6ED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15790">
      <w:bodyDiv w:val="1"/>
      <w:marLeft w:val="0"/>
      <w:marRight w:val="0"/>
      <w:marTop w:val="0"/>
      <w:marBottom w:val="0"/>
      <w:divBdr>
        <w:top w:val="none" w:sz="0" w:space="0" w:color="auto"/>
        <w:left w:val="none" w:sz="0" w:space="0" w:color="auto"/>
        <w:bottom w:val="none" w:sz="0" w:space="0" w:color="auto"/>
        <w:right w:val="none" w:sz="0" w:space="0" w:color="auto"/>
      </w:divBdr>
    </w:div>
    <w:div w:id="18475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ANA PATRICIA PEREZ</cp:lastModifiedBy>
  <cp:revision>2</cp:revision>
  <dcterms:created xsi:type="dcterms:W3CDTF">2021-03-03T18:02:00Z</dcterms:created>
  <dcterms:modified xsi:type="dcterms:W3CDTF">2021-03-03T18:02:00Z</dcterms:modified>
</cp:coreProperties>
</file>